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E5" w:rsidRDefault="003310E5" w:rsidP="003310E5">
      <w:pPr>
        <w:pStyle w:val="Heading2"/>
        <w:numPr>
          <w:ilvl w:val="0"/>
          <w:numId w:val="12"/>
        </w:numPr>
        <w:spacing w:before="0" w:line="360" w:lineRule="atLeast"/>
        <w:textAlignment w:val="baseline"/>
        <w:rPr>
          <w:rFonts w:ascii="Times New Roman" w:hAnsi="Times New Roman" w:cs="Times New Roman"/>
          <w:b/>
          <w:color w:val="auto"/>
          <w:sz w:val="36"/>
          <w:szCs w:val="36"/>
        </w:rPr>
      </w:pPr>
      <w:r w:rsidRPr="003310E5">
        <w:rPr>
          <w:rFonts w:ascii="Times New Roman" w:hAnsi="Times New Roman" w:cs="Times New Roman"/>
          <w:b/>
          <w:color w:val="auto"/>
          <w:sz w:val="36"/>
          <w:szCs w:val="36"/>
        </w:rPr>
        <w:t>Gender, women and health</w:t>
      </w:r>
    </w:p>
    <w:p w:rsidR="003310E5" w:rsidRPr="003310E5" w:rsidRDefault="003310E5" w:rsidP="003310E5"/>
    <w:p w:rsidR="003310E5" w:rsidRPr="00585979" w:rsidRDefault="003310E5" w:rsidP="003310E5">
      <w:pPr>
        <w:rPr>
          <w:rFonts w:ascii="Times New Roman" w:hAnsi="Times New Roman" w:cs="Times New Roman"/>
          <w:sz w:val="24"/>
          <w:szCs w:val="24"/>
        </w:rPr>
      </w:pPr>
      <w:hyperlink r:id="rId5" w:history="1">
        <w:r w:rsidRPr="00585979">
          <w:rPr>
            <w:rStyle w:val="Hyperlink"/>
            <w:rFonts w:ascii="Times New Roman" w:hAnsi="Times New Roman" w:cs="Times New Roman"/>
            <w:color w:val="auto"/>
          </w:rPr>
          <w:t>http://apps.who.int/gender/whatisgender/en/</w:t>
        </w:r>
      </w:hyperlink>
      <w:r w:rsidRPr="00585979">
        <w:rPr>
          <w:rFonts w:ascii="Times New Roman" w:hAnsi="Times New Roman" w:cs="Times New Roman"/>
          <w:sz w:val="24"/>
          <w:szCs w:val="24"/>
        </w:rPr>
        <w:t xml:space="preserve"> (World Health Organization)</w:t>
      </w:r>
    </w:p>
    <w:p w:rsidR="003310E5" w:rsidRPr="00585979" w:rsidRDefault="003310E5" w:rsidP="003310E5">
      <w:pPr>
        <w:pBdr>
          <w:bottom w:val="single" w:sz="6" w:space="1" w:color="auto"/>
        </w:pBdr>
        <w:spacing w:after="0" w:line="240" w:lineRule="auto"/>
        <w:jc w:val="center"/>
        <w:rPr>
          <w:rFonts w:ascii="Times New Roman" w:eastAsia="Times New Roman" w:hAnsi="Times New Roman" w:cs="Times New Roman"/>
          <w:vanish/>
          <w:sz w:val="24"/>
          <w:szCs w:val="24"/>
        </w:rPr>
      </w:pPr>
      <w:r w:rsidRPr="00585979">
        <w:rPr>
          <w:rFonts w:ascii="Times New Roman" w:eastAsia="Times New Roman" w:hAnsi="Times New Roman" w:cs="Times New Roman"/>
          <w:vanish/>
          <w:sz w:val="24"/>
          <w:szCs w:val="24"/>
        </w:rPr>
        <w:t>Top of Form</w:t>
      </w:r>
    </w:p>
    <w:p w:rsidR="003310E5" w:rsidRPr="00585979" w:rsidRDefault="003310E5" w:rsidP="003310E5">
      <w:pPr>
        <w:shd w:val="clear" w:color="auto" w:fill="FFFFFF"/>
        <w:spacing w:after="180" w:line="360" w:lineRule="atLeast"/>
        <w:ind w:right="300"/>
        <w:textAlignment w:val="baseline"/>
        <w:outlineLvl w:val="0"/>
        <w:rPr>
          <w:rFonts w:ascii="Times New Roman" w:eastAsia="Times New Roman" w:hAnsi="Times New Roman" w:cs="Times New Roman"/>
          <w:b/>
          <w:bCs/>
          <w:kern w:val="36"/>
          <w:sz w:val="24"/>
          <w:szCs w:val="24"/>
        </w:rPr>
      </w:pPr>
      <w:r w:rsidRPr="00585979">
        <w:rPr>
          <w:rFonts w:ascii="Times New Roman" w:eastAsia="Times New Roman" w:hAnsi="Times New Roman" w:cs="Times New Roman"/>
          <w:b/>
          <w:bCs/>
          <w:kern w:val="36"/>
          <w:sz w:val="24"/>
          <w:szCs w:val="24"/>
        </w:rPr>
        <w:t>What do we mean by "sex" and "gender"?</w:t>
      </w: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bdr w:val="none" w:sz="0" w:space="0" w:color="auto" w:frame="1"/>
        </w:rPr>
        <w:t>Sometimes it is hard to understand exactly what is meant by the term "gender"</w:t>
      </w:r>
      <w:r>
        <w:rPr>
          <w:rFonts w:ascii="Times New Roman" w:eastAsia="Times New Roman" w:hAnsi="Times New Roman" w:cs="Times New Roman"/>
          <w:sz w:val="24"/>
          <w:szCs w:val="24"/>
          <w:bdr w:val="none" w:sz="0" w:space="0" w:color="auto" w:frame="1"/>
        </w:rPr>
        <w:t xml:space="preserve"> </w:t>
      </w:r>
      <w:r w:rsidRPr="00585979">
        <w:rPr>
          <w:rFonts w:ascii="Times New Roman" w:eastAsia="Times New Roman" w:hAnsi="Times New Roman" w:cs="Times New Roman"/>
          <w:sz w:val="24"/>
          <w:szCs w:val="24"/>
          <w:bdr w:val="none" w:sz="0" w:space="0" w:color="auto" w:frame="1"/>
        </w:rPr>
        <w:t>and how it differs from the closely related term "sex".</w:t>
      </w: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b/>
          <w:bCs/>
          <w:sz w:val="24"/>
          <w:szCs w:val="24"/>
          <w:bdr w:val="none" w:sz="0" w:space="0" w:color="auto" w:frame="1"/>
        </w:rPr>
      </w:pP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b/>
          <w:bCs/>
          <w:sz w:val="24"/>
          <w:szCs w:val="24"/>
          <w:bdr w:val="none" w:sz="0" w:space="0" w:color="auto" w:frame="1"/>
        </w:rPr>
        <w:t>"Sex"</w:t>
      </w:r>
      <w:r w:rsidRPr="00585979">
        <w:rPr>
          <w:rFonts w:ascii="Times New Roman" w:eastAsia="Times New Roman" w:hAnsi="Times New Roman" w:cs="Times New Roman"/>
          <w:sz w:val="24"/>
          <w:szCs w:val="24"/>
          <w:bdr w:val="none" w:sz="0" w:space="0" w:color="auto" w:frame="1"/>
        </w:rPr>
        <w:t> refers to the biological and physiological characteristics that define men and women.</w:t>
      </w: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b/>
          <w:bCs/>
          <w:sz w:val="24"/>
          <w:szCs w:val="24"/>
          <w:bdr w:val="none" w:sz="0" w:space="0" w:color="auto" w:frame="1"/>
        </w:rPr>
      </w:pP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b/>
          <w:bCs/>
          <w:sz w:val="24"/>
          <w:szCs w:val="24"/>
          <w:bdr w:val="none" w:sz="0" w:space="0" w:color="auto" w:frame="1"/>
        </w:rPr>
        <w:t>"Gender"</w:t>
      </w:r>
      <w:r w:rsidRPr="00585979">
        <w:rPr>
          <w:rFonts w:ascii="Times New Roman" w:eastAsia="Times New Roman" w:hAnsi="Times New Roman" w:cs="Times New Roman"/>
          <w:sz w:val="24"/>
          <w:szCs w:val="24"/>
          <w:bdr w:val="none" w:sz="0" w:space="0" w:color="auto" w:frame="1"/>
        </w:rPr>
        <w:t xml:space="preserve"> refers to the socially constructed roles, </w:t>
      </w:r>
      <w:proofErr w:type="spellStart"/>
      <w:r w:rsidRPr="00585979">
        <w:rPr>
          <w:rFonts w:ascii="Times New Roman" w:eastAsia="Times New Roman" w:hAnsi="Times New Roman" w:cs="Times New Roman"/>
          <w:sz w:val="24"/>
          <w:szCs w:val="24"/>
          <w:bdr w:val="none" w:sz="0" w:space="0" w:color="auto" w:frame="1"/>
        </w:rPr>
        <w:t>behaviours</w:t>
      </w:r>
      <w:proofErr w:type="spellEnd"/>
      <w:r w:rsidRPr="00585979">
        <w:rPr>
          <w:rFonts w:ascii="Times New Roman" w:eastAsia="Times New Roman" w:hAnsi="Times New Roman" w:cs="Times New Roman"/>
          <w:sz w:val="24"/>
          <w:szCs w:val="24"/>
          <w:bdr w:val="none" w:sz="0" w:space="0" w:color="auto" w:frame="1"/>
        </w:rPr>
        <w:t>, activities, and attributes that a given society considers appropriate for men and women.</w:t>
      </w: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bdr w:val="none" w:sz="0" w:space="0" w:color="auto" w:frame="1"/>
        </w:rPr>
      </w:pP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bdr w:val="none" w:sz="0" w:space="0" w:color="auto" w:frame="1"/>
        </w:rPr>
        <w:t>To put it another way:</w:t>
      </w: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b/>
          <w:bCs/>
          <w:sz w:val="24"/>
          <w:szCs w:val="24"/>
          <w:bdr w:val="none" w:sz="0" w:space="0" w:color="auto" w:frame="1"/>
        </w:rPr>
        <w:t>"Male" and "female" are sex categories, while "masculine" and "feminine" are gender categories.</w:t>
      </w: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bdr w:val="none" w:sz="0" w:space="0" w:color="auto" w:frame="1"/>
        </w:rPr>
      </w:pP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bdr w:val="none" w:sz="0" w:space="0" w:color="auto" w:frame="1"/>
        </w:rPr>
        <w:t>Aspects of sex will not vary substantially between different human societies, while aspects of gender may vary greatly.</w:t>
      </w:r>
    </w:p>
    <w:p w:rsidR="003310E5"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bdr w:val="none" w:sz="0" w:space="0" w:color="auto" w:frame="1"/>
        </w:rPr>
      </w:pP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bdr w:val="none" w:sz="0" w:space="0" w:color="auto" w:frame="1"/>
        </w:rPr>
      </w:pP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bdr w:val="none" w:sz="0" w:space="0" w:color="auto" w:frame="1"/>
        </w:rPr>
        <w:t>Some examples of sex cha</w:t>
      </w:r>
      <w:r>
        <w:rPr>
          <w:rFonts w:ascii="Times New Roman" w:eastAsia="Times New Roman" w:hAnsi="Times New Roman" w:cs="Times New Roman"/>
          <w:sz w:val="24"/>
          <w:szCs w:val="24"/>
          <w:bdr w:val="none" w:sz="0" w:space="0" w:color="auto" w:frame="1"/>
        </w:rPr>
        <w:t>racteristics</w:t>
      </w:r>
      <w:r w:rsidRPr="00585979">
        <w:rPr>
          <w:rFonts w:ascii="Times New Roman" w:eastAsia="Times New Roman" w:hAnsi="Times New Roman" w:cs="Times New Roman"/>
          <w:sz w:val="24"/>
          <w:szCs w:val="24"/>
          <w:bdr w:val="none" w:sz="0" w:space="0" w:color="auto" w:frame="1"/>
        </w:rPr>
        <w:t>:</w:t>
      </w:r>
    </w:p>
    <w:p w:rsidR="003310E5" w:rsidRPr="00585979" w:rsidRDefault="003310E5" w:rsidP="003310E5">
      <w:pPr>
        <w:numPr>
          <w:ilvl w:val="0"/>
          <w:numId w:val="6"/>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rPr>
        <w:t>Women menstruate while men do not</w:t>
      </w:r>
    </w:p>
    <w:p w:rsidR="003310E5" w:rsidRPr="00585979" w:rsidRDefault="003310E5" w:rsidP="003310E5">
      <w:pPr>
        <w:numPr>
          <w:ilvl w:val="0"/>
          <w:numId w:val="6"/>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rPr>
        <w:t>Men have testicles while women do not</w:t>
      </w:r>
    </w:p>
    <w:p w:rsidR="003310E5" w:rsidRPr="00585979" w:rsidRDefault="003310E5" w:rsidP="003310E5">
      <w:pPr>
        <w:numPr>
          <w:ilvl w:val="0"/>
          <w:numId w:val="6"/>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rPr>
        <w:t>Women have developed breasts that are usually capable of lactating, while men have not</w:t>
      </w:r>
    </w:p>
    <w:p w:rsidR="003310E5" w:rsidRPr="00585979" w:rsidRDefault="003310E5" w:rsidP="003310E5">
      <w:pPr>
        <w:numPr>
          <w:ilvl w:val="0"/>
          <w:numId w:val="6"/>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rPr>
        <w:t>Men generally have more massive bones than women</w:t>
      </w:r>
    </w:p>
    <w:p w:rsidR="003310E5"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bdr w:val="none" w:sz="0" w:space="0" w:color="auto" w:frame="1"/>
        </w:rPr>
      </w:pPr>
    </w:p>
    <w:p w:rsidR="003310E5"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bdr w:val="none" w:sz="0" w:space="0" w:color="auto" w:frame="1"/>
        </w:rPr>
      </w:pPr>
    </w:p>
    <w:p w:rsidR="003310E5" w:rsidRPr="00585979" w:rsidRDefault="003310E5" w:rsidP="003310E5">
      <w:pPr>
        <w:shd w:val="clear" w:color="auto" w:fill="FFFFFF"/>
        <w:spacing w:after="0" w:line="270" w:lineRule="atLeast"/>
        <w:ind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bdr w:val="none" w:sz="0" w:space="0" w:color="auto" w:frame="1"/>
        </w:rPr>
        <w:t xml:space="preserve">Some examples of gender </w:t>
      </w:r>
      <w:r>
        <w:rPr>
          <w:rFonts w:ascii="Times New Roman" w:eastAsia="Times New Roman" w:hAnsi="Times New Roman" w:cs="Times New Roman"/>
          <w:sz w:val="24"/>
          <w:szCs w:val="24"/>
          <w:bdr w:val="none" w:sz="0" w:space="0" w:color="auto" w:frame="1"/>
        </w:rPr>
        <w:t>characteristics</w:t>
      </w:r>
      <w:r w:rsidRPr="00585979">
        <w:rPr>
          <w:rFonts w:ascii="Times New Roman" w:eastAsia="Times New Roman" w:hAnsi="Times New Roman" w:cs="Times New Roman"/>
          <w:sz w:val="24"/>
          <w:szCs w:val="24"/>
          <w:bdr w:val="none" w:sz="0" w:space="0" w:color="auto" w:frame="1"/>
        </w:rPr>
        <w:t>:</w:t>
      </w:r>
    </w:p>
    <w:p w:rsidR="003310E5" w:rsidRPr="00585979" w:rsidRDefault="003310E5" w:rsidP="003310E5">
      <w:pPr>
        <w:numPr>
          <w:ilvl w:val="0"/>
          <w:numId w:val="7"/>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rPr>
        <w:t>In the United States (and most other countries), women earn significantly less money than men for similar work</w:t>
      </w:r>
    </w:p>
    <w:p w:rsidR="003310E5" w:rsidRPr="00585979" w:rsidRDefault="003310E5" w:rsidP="003310E5">
      <w:pPr>
        <w:numPr>
          <w:ilvl w:val="0"/>
          <w:numId w:val="7"/>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rPr>
        <w:t>In Viet Nam, many more men than women smoke, as female smoking has not traditionally been considered appropriate</w:t>
      </w:r>
    </w:p>
    <w:p w:rsidR="003310E5" w:rsidRPr="00585979" w:rsidRDefault="003310E5" w:rsidP="003310E5">
      <w:pPr>
        <w:numPr>
          <w:ilvl w:val="0"/>
          <w:numId w:val="7"/>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rPr>
        <w:t xml:space="preserve">In Saudi Arabia men </w:t>
      </w:r>
      <w:proofErr w:type="gramStart"/>
      <w:r w:rsidRPr="00585979">
        <w:rPr>
          <w:rFonts w:ascii="Times New Roman" w:eastAsia="Times New Roman" w:hAnsi="Times New Roman" w:cs="Times New Roman"/>
          <w:sz w:val="24"/>
          <w:szCs w:val="24"/>
        </w:rPr>
        <w:t>are allowed to</w:t>
      </w:r>
      <w:proofErr w:type="gramEnd"/>
      <w:r w:rsidRPr="00585979">
        <w:rPr>
          <w:rFonts w:ascii="Times New Roman" w:eastAsia="Times New Roman" w:hAnsi="Times New Roman" w:cs="Times New Roman"/>
          <w:sz w:val="24"/>
          <w:szCs w:val="24"/>
        </w:rPr>
        <w:t xml:space="preserve"> drive cars while women are not</w:t>
      </w:r>
    </w:p>
    <w:p w:rsidR="003310E5" w:rsidRPr="00585979" w:rsidRDefault="003310E5" w:rsidP="003310E5">
      <w:pPr>
        <w:numPr>
          <w:ilvl w:val="0"/>
          <w:numId w:val="7"/>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585979">
        <w:rPr>
          <w:rFonts w:ascii="Times New Roman" w:eastAsia="Times New Roman" w:hAnsi="Times New Roman" w:cs="Times New Roman"/>
          <w:sz w:val="24"/>
          <w:szCs w:val="24"/>
        </w:rPr>
        <w:t>In most of the world, women do more housework than men</w:t>
      </w:r>
    </w:p>
    <w:p w:rsidR="003310E5" w:rsidRPr="00585979" w:rsidRDefault="003310E5" w:rsidP="003310E5">
      <w:pPr>
        <w:shd w:val="clear" w:color="auto" w:fill="FFFFFF"/>
        <w:spacing w:after="0" w:line="225" w:lineRule="atLeast"/>
        <w:ind w:right="300"/>
        <w:textAlignment w:val="baseline"/>
        <w:rPr>
          <w:rFonts w:ascii="Times New Roman" w:eastAsia="Times New Roman" w:hAnsi="Times New Roman" w:cs="Times New Roman"/>
          <w:sz w:val="24"/>
          <w:szCs w:val="24"/>
        </w:rPr>
      </w:pPr>
    </w:p>
    <w:p w:rsidR="003310E5" w:rsidRPr="00585979" w:rsidRDefault="003310E5" w:rsidP="003310E5">
      <w:pPr>
        <w:shd w:val="clear" w:color="auto" w:fill="FFFFFF"/>
        <w:spacing w:after="0" w:line="225" w:lineRule="atLeast"/>
        <w:ind w:right="300"/>
        <w:textAlignment w:val="baseline"/>
        <w:rPr>
          <w:rFonts w:ascii="Times New Roman" w:eastAsia="Times New Roman" w:hAnsi="Times New Roman" w:cs="Times New Roman"/>
          <w:sz w:val="24"/>
          <w:szCs w:val="24"/>
        </w:rPr>
      </w:pPr>
    </w:p>
    <w:p w:rsidR="003310E5" w:rsidRPr="00585979" w:rsidRDefault="003310E5" w:rsidP="003310E5">
      <w:pPr>
        <w:shd w:val="clear" w:color="auto" w:fill="FFFFFF"/>
        <w:spacing w:after="0" w:line="225" w:lineRule="atLeast"/>
        <w:ind w:right="300"/>
        <w:textAlignment w:val="baseline"/>
        <w:rPr>
          <w:rFonts w:ascii="Times New Roman" w:eastAsia="Times New Roman" w:hAnsi="Times New Roman" w:cs="Times New Roman"/>
          <w:sz w:val="24"/>
          <w:szCs w:val="24"/>
        </w:rPr>
      </w:pPr>
    </w:p>
    <w:p w:rsidR="003310E5" w:rsidRDefault="003310E5" w:rsidP="0023004E">
      <w:pPr>
        <w:pStyle w:val="Heading2"/>
        <w:pBdr>
          <w:bottom w:val="single" w:sz="12" w:space="1" w:color="auto"/>
        </w:pBdr>
        <w:spacing w:before="0" w:line="360" w:lineRule="atLeast"/>
        <w:textAlignment w:val="baseline"/>
        <w:rPr>
          <w:rFonts w:ascii="Times New Roman" w:hAnsi="Times New Roman" w:cs="Times New Roman"/>
          <w:color w:val="auto"/>
          <w:sz w:val="24"/>
          <w:szCs w:val="24"/>
        </w:rPr>
      </w:pPr>
    </w:p>
    <w:p w:rsidR="003310E5" w:rsidRDefault="003310E5" w:rsidP="003310E5"/>
    <w:p w:rsidR="003310E5" w:rsidRDefault="003310E5" w:rsidP="003310E5"/>
    <w:p w:rsidR="003310E5" w:rsidRDefault="003310E5" w:rsidP="0023004E">
      <w:pPr>
        <w:pStyle w:val="Heading2"/>
        <w:spacing w:before="0" w:line="360" w:lineRule="atLeast"/>
        <w:textAlignment w:val="baseline"/>
        <w:rPr>
          <w:rFonts w:ascii="Times New Roman" w:hAnsi="Times New Roman" w:cs="Times New Roman"/>
          <w:color w:val="auto"/>
          <w:sz w:val="24"/>
          <w:szCs w:val="24"/>
        </w:rPr>
      </w:pPr>
    </w:p>
    <w:p w:rsidR="0023004E" w:rsidRDefault="0023004E" w:rsidP="003310E5">
      <w:pPr>
        <w:pStyle w:val="Heading2"/>
        <w:numPr>
          <w:ilvl w:val="0"/>
          <w:numId w:val="12"/>
        </w:numPr>
        <w:spacing w:before="0" w:line="360" w:lineRule="atLeast"/>
        <w:textAlignment w:val="baseline"/>
        <w:rPr>
          <w:rFonts w:ascii="Times New Roman" w:hAnsi="Times New Roman" w:cs="Times New Roman"/>
          <w:b/>
          <w:color w:val="auto"/>
          <w:sz w:val="32"/>
          <w:szCs w:val="32"/>
        </w:rPr>
      </w:pPr>
      <w:r w:rsidRPr="003310E5">
        <w:rPr>
          <w:rFonts w:ascii="Times New Roman" w:hAnsi="Times New Roman" w:cs="Times New Roman"/>
          <w:b/>
          <w:color w:val="auto"/>
          <w:sz w:val="32"/>
          <w:szCs w:val="32"/>
        </w:rPr>
        <w:t>Gender and health</w:t>
      </w:r>
      <w:r w:rsidR="002E7FB5" w:rsidRPr="003310E5">
        <w:rPr>
          <w:rFonts w:ascii="Times New Roman" w:hAnsi="Times New Roman" w:cs="Times New Roman"/>
          <w:b/>
          <w:color w:val="auto"/>
          <w:sz w:val="32"/>
          <w:szCs w:val="32"/>
        </w:rPr>
        <w:t xml:space="preserve"> (World Health Organization)</w:t>
      </w:r>
    </w:p>
    <w:p w:rsidR="003310E5" w:rsidRPr="003310E5" w:rsidRDefault="003310E5" w:rsidP="003310E5"/>
    <w:p w:rsidR="002E7FB5" w:rsidRPr="002E7FB5" w:rsidRDefault="002E7FB5" w:rsidP="002E7FB5">
      <w:pPr>
        <w:pBdr>
          <w:bottom w:val="single" w:sz="6" w:space="1" w:color="auto"/>
        </w:pBdr>
        <w:spacing w:after="0" w:line="240" w:lineRule="auto"/>
        <w:rPr>
          <w:rFonts w:ascii="Times New Roman" w:hAnsi="Times New Roman" w:cs="Times New Roman"/>
          <w:sz w:val="24"/>
          <w:szCs w:val="24"/>
        </w:rPr>
      </w:pPr>
      <w:hyperlink r:id="rId6" w:history="1">
        <w:r w:rsidRPr="002E7FB5">
          <w:rPr>
            <w:rStyle w:val="Hyperlink"/>
            <w:rFonts w:ascii="Times New Roman" w:hAnsi="Times New Roman" w:cs="Times New Roman"/>
            <w:color w:val="auto"/>
            <w:sz w:val="24"/>
            <w:szCs w:val="24"/>
          </w:rPr>
          <w:t>http://www.who.int/mediacentre/factsheets/fs403/en/</w:t>
        </w:r>
      </w:hyperlink>
    </w:p>
    <w:p w:rsidR="002E7FB5" w:rsidRPr="002E7FB5" w:rsidRDefault="002E7FB5" w:rsidP="0023004E">
      <w:pPr>
        <w:pBdr>
          <w:bottom w:val="single" w:sz="6" w:space="1" w:color="auto"/>
        </w:pBdr>
        <w:spacing w:after="0" w:line="240" w:lineRule="auto"/>
        <w:jc w:val="center"/>
        <w:rPr>
          <w:rFonts w:ascii="Times New Roman" w:hAnsi="Times New Roman" w:cs="Times New Roman"/>
          <w:sz w:val="24"/>
          <w:szCs w:val="24"/>
        </w:rPr>
      </w:pPr>
    </w:p>
    <w:p w:rsidR="0023004E" w:rsidRPr="0023004E" w:rsidRDefault="0023004E" w:rsidP="0023004E">
      <w:pPr>
        <w:pBdr>
          <w:bottom w:val="single" w:sz="6" w:space="1" w:color="auto"/>
        </w:pBdr>
        <w:spacing w:after="0" w:line="240" w:lineRule="auto"/>
        <w:jc w:val="center"/>
        <w:rPr>
          <w:rFonts w:ascii="Times New Roman" w:eastAsia="Times New Roman" w:hAnsi="Times New Roman" w:cs="Times New Roman"/>
          <w:vanish/>
          <w:sz w:val="24"/>
          <w:szCs w:val="24"/>
        </w:rPr>
      </w:pPr>
      <w:r w:rsidRPr="0023004E">
        <w:rPr>
          <w:rFonts w:ascii="Times New Roman" w:eastAsia="Times New Roman" w:hAnsi="Times New Roman" w:cs="Times New Roman"/>
          <w:vanish/>
          <w:sz w:val="24"/>
          <w:szCs w:val="24"/>
        </w:rPr>
        <w:t>Top of Form</w:t>
      </w:r>
    </w:p>
    <w:p w:rsidR="002E7FB5" w:rsidRPr="002E7FB5" w:rsidRDefault="002E7FB5" w:rsidP="002E7FB5">
      <w:pPr>
        <w:pStyle w:val="Heading1"/>
        <w:shd w:val="clear" w:color="auto" w:fill="FFFFFF"/>
        <w:spacing w:before="0" w:beforeAutospacing="0" w:after="180" w:afterAutospacing="0" w:line="360" w:lineRule="atLeast"/>
        <w:ind w:right="300"/>
        <w:textAlignment w:val="baseline"/>
        <w:rPr>
          <w:sz w:val="24"/>
          <w:szCs w:val="24"/>
        </w:rPr>
      </w:pPr>
      <w:r w:rsidRPr="002E7FB5">
        <w:rPr>
          <w:sz w:val="24"/>
          <w:szCs w:val="24"/>
        </w:rPr>
        <w:t>Gender</w:t>
      </w:r>
    </w:p>
    <w:p w:rsidR="002E7FB5" w:rsidRPr="002E7FB5" w:rsidRDefault="002E7FB5" w:rsidP="002E7FB5">
      <w:pPr>
        <w:pStyle w:val="NormalWeb"/>
        <w:shd w:val="clear" w:color="auto" w:fill="FFFFFF"/>
        <w:spacing w:before="0" w:beforeAutospacing="0" w:after="0" w:afterAutospacing="0" w:line="270" w:lineRule="atLeast"/>
        <w:textAlignment w:val="baseline"/>
      </w:pPr>
      <w:r w:rsidRPr="002E7FB5">
        <w:rPr>
          <w:bdr w:val="none" w:sz="0" w:space="0" w:color="auto" w:frame="1"/>
        </w:rPr>
        <w:t>Fact sheet N°403</w:t>
      </w:r>
      <w:r w:rsidRPr="002E7FB5">
        <w:rPr>
          <w:bdr w:val="none" w:sz="0" w:space="0" w:color="auto" w:frame="1"/>
        </w:rPr>
        <w:br/>
        <w:t>August 2015</w:t>
      </w:r>
    </w:p>
    <w:p w:rsidR="002E7FB5" w:rsidRPr="002E7FB5" w:rsidRDefault="003310E5" w:rsidP="002E7FB5">
      <w:pPr>
        <w:spacing w:before="150" w:after="150"/>
        <w:rPr>
          <w:rFonts w:ascii="Times New Roman" w:hAnsi="Times New Roman" w:cs="Times New Roman"/>
          <w:sz w:val="24"/>
          <w:szCs w:val="24"/>
        </w:rPr>
      </w:pPr>
      <w:r>
        <w:rPr>
          <w:rFonts w:ascii="Times New Roman" w:hAnsi="Times New Roman" w:cs="Times New Roman"/>
          <w:sz w:val="24"/>
          <w:szCs w:val="24"/>
        </w:rPr>
        <w:pict>
          <v:rect id="_x0000_i1025" style="width:0;height:3pt" o:hralign="center" o:hrstd="t" o:hrnoshade="t" o:hr="t" fillcolor="#333" stroked="f"/>
        </w:pict>
      </w:r>
    </w:p>
    <w:p w:rsidR="002E7FB5" w:rsidRPr="002E7FB5" w:rsidRDefault="002E7FB5" w:rsidP="002E7FB5">
      <w:pPr>
        <w:pStyle w:val="Heading3"/>
        <w:shd w:val="clear" w:color="auto" w:fill="FFFFFF"/>
        <w:spacing w:before="0" w:after="135" w:line="270" w:lineRule="atLeast"/>
        <w:ind w:right="300"/>
        <w:textAlignment w:val="baseline"/>
        <w:rPr>
          <w:rFonts w:ascii="Times New Roman" w:hAnsi="Times New Roman" w:cs="Times New Roman"/>
          <w:color w:val="auto"/>
        </w:rPr>
      </w:pPr>
      <w:r w:rsidRPr="002E7FB5">
        <w:rPr>
          <w:rFonts w:ascii="Times New Roman" w:hAnsi="Times New Roman" w:cs="Times New Roman"/>
          <w:color w:val="auto"/>
        </w:rPr>
        <w:t>Key facts</w:t>
      </w:r>
    </w:p>
    <w:p w:rsidR="002E7FB5" w:rsidRPr="002E7FB5" w:rsidRDefault="002E7FB5" w:rsidP="002E7FB5">
      <w:pPr>
        <w:numPr>
          <w:ilvl w:val="0"/>
          <w:numId w:val="8"/>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Gender norms, roles and relations can influence health outcomes and affect the attainment of mental, physical and social health and well-being.</w:t>
      </w:r>
    </w:p>
    <w:p w:rsidR="002E7FB5" w:rsidRPr="002E7FB5" w:rsidRDefault="002E7FB5" w:rsidP="002E7FB5">
      <w:pPr>
        <w:numPr>
          <w:ilvl w:val="0"/>
          <w:numId w:val="8"/>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Gender inequality limits access to quality health services and contributes to avoidable morbidity and mortality rates in women and men throughout the life-course.</w:t>
      </w:r>
    </w:p>
    <w:p w:rsidR="002E7FB5" w:rsidRPr="002E7FB5" w:rsidRDefault="002E7FB5" w:rsidP="002E7FB5">
      <w:pPr>
        <w:numPr>
          <w:ilvl w:val="0"/>
          <w:numId w:val="8"/>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 xml:space="preserve">Developing gender-responsive health </w:t>
      </w:r>
      <w:proofErr w:type="spellStart"/>
      <w:r w:rsidRPr="002E7FB5">
        <w:rPr>
          <w:rFonts w:ascii="Times New Roman" w:hAnsi="Times New Roman" w:cs="Times New Roman"/>
          <w:sz w:val="24"/>
          <w:szCs w:val="24"/>
        </w:rPr>
        <w:t>programmes</w:t>
      </w:r>
      <w:proofErr w:type="spellEnd"/>
      <w:r w:rsidRPr="002E7FB5">
        <w:rPr>
          <w:rFonts w:ascii="Times New Roman" w:hAnsi="Times New Roman" w:cs="Times New Roman"/>
          <w:sz w:val="24"/>
          <w:szCs w:val="24"/>
        </w:rPr>
        <w:t xml:space="preserve"> which are appropriately implemented are beneficial for men, women, boys and girls.</w:t>
      </w:r>
    </w:p>
    <w:p w:rsidR="002E7FB5" w:rsidRPr="002E7FB5" w:rsidRDefault="002E7FB5" w:rsidP="002E7FB5">
      <w:pPr>
        <w:numPr>
          <w:ilvl w:val="0"/>
          <w:numId w:val="8"/>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It is necessary to disaggregate data and conduct gender analyses to identify sex and gender-based differences in health risks and opportunities and to design appropriate health interventions.</w:t>
      </w:r>
    </w:p>
    <w:p w:rsidR="002E7FB5" w:rsidRPr="002E7FB5" w:rsidRDefault="002E7FB5" w:rsidP="002E7FB5">
      <w:pPr>
        <w:numPr>
          <w:ilvl w:val="0"/>
          <w:numId w:val="8"/>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Addressing gender inequality improves access to and benefits from health services.</w:t>
      </w:r>
    </w:p>
    <w:p w:rsidR="002E7FB5" w:rsidRPr="002E7FB5" w:rsidRDefault="003310E5" w:rsidP="002E7FB5">
      <w:pPr>
        <w:spacing w:before="150" w:after="150" w:line="240" w:lineRule="auto"/>
        <w:rPr>
          <w:rFonts w:ascii="Times New Roman" w:hAnsi="Times New Roman" w:cs="Times New Roman"/>
          <w:sz w:val="24"/>
          <w:szCs w:val="24"/>
        </w:rPr>
      </w:pPr>
      <w:r>
        <w:rPr>
          <w:rFonts w:ascii="Times New Roman" w:hAnsi="Times New Roman" w:cs="Times New Roman"/>
          <w:sz w:val="24"/>
          <w:szCs w:val="24"/>
        </w:rPr>
        <w:pict>
          <v:rect id="_x0000_i1026" style="width:0;height:3pt" o:hralign="center" o:hrstd="t" o:hrnoshade="t" o:hr="t" fillcolor="#333" stroked="f"/>
        </w:pict>
      </w:r>
    </w:p>
    <w:p w:rsidR="002E7FB5" w:rsidRPr="002E7FB5" w:rsidRDefault="002E7FB5" w:rsidP="002E7FB5">
      <w:pPr>
        <w:pStyle w:val="Heading3"/>
        <w:shd w:val="clear" w:color="auto" w:fill="FFFFFF"/>
        <w:spacing w:before="0" w:after="135" w:line="270" w:lineRule="atLeast"/>
        <w:ind w:right="300"/>
        <w:textAlignment w:val="baseline"/>
        <w:rPr>
          <w:rFonts w:ascii="Times New Roman" w:hAnsi="Times New Roman" w:cs="Times New Roman"/>
          <w:color w:val="auto"/>
        </w:rPr>
      </w:pPr>
      <w:r w:rsidRPr="002E7FB5">
        <w:rPr>
          <w:rFonts w:ascii="Times New Roman" w:hAnsi="Times New Roman" w:cs="Times New Roman"/>
          <w:color w:val="auto"/>
        </w:rPr>
        <w:t>Introduction</w:t>
      </w:r>
    </w:p>
    <w:p w:rsidR="002E7FB5" w:rsidRPr="002E7FB5" w:rsidRDefault="002E7FB5" w:rsidP="002E7FB5">
      <w:pPr>
        <w:pStyle w:val="NormalWeb"/>
        <w:shd w:val="clear" w:color="auto" w:fill="FFFFFF"/>
        <w:spacing w:before="0" w:beforeAutospacing="0" w:after="0" w:afterAutospacing="0" w:line="270" w:lineRule="atLeast"/>
        <w:ind w:right="300"/>
        <w:textAlignment w:val="baseline"/>
      </w:pPr>
      <w:r w:rsidRPr="002E7FB5">
        <w:rPr>
          <w:bdr w:val="none" w:sz="0" w:space="0" w:color="auto" w:frame="1"/>
        </w:rPr>
        <w:t>Gender refers to the socially constructed characteristics of women and men – such as the norms, roles and relationships that exist between them. Gender expectations vary between cultures and can change over time. It is also important to recognize identities that do not fit into the binary male or female sex categories. Gender norms, relations and roles also impact the health outcomes of people with transgender or intersex identities.</w:t>
      </w:r>
    </w:p>
    <w:p w:rsidR="002E7FB5" w:rsidRPr="002E7FB5" w:rsidRDefault="002E7FB5" w:rsidP="002E7FB5">
      <w:pPr>
        <w:pStyle w:val="Heading3"/>
        <w:shd w:val="clear" w:color="auto" w:fill="FFFFFF"/>
        <w:spacing w:before="0" w:after="135" w:line="270" w:lineRule="atLeast"/>
        <w:ind w:right="300"/>
        <w:textAlignment w:val="baseline"/>
        <w:rPr>
          <w:rFonts w:ascii="Times New Roman" w:hAnsi="Times New Roman" w:cs="Times New Roman"/>
          <w:color w:val="auto"/>
        </w:rPr>
      </w:pPr>
      <w:r w:rsidRPr="002E7FB5">
        <w:rPr>
          <w:rFonts w:ascii="Times New Roman" w:hAnsi="Times New Roman" w:cs="Times New Roman"/>
          <w:color w:val="auto"/>
        </w:rPr>
        <w:t>“Sex” vs. “Gender”</w:t>
      </w:r>
    </w:p>
    <w:p w:rsidR="002E7FB5" w:rsidRPr="002E7FB5" w:rsidRDefault="002E7FB5" w:rsidP="002E7FB5">
      <w:pPr>
        <w:pStyle w:val="NormalWeb"/>
        <w:shd w:val="clear" w:color="auto" w:fill="FFFFFF"/>
        <w:spacing w:before="0" w:beforeAutospacing="0" w:after="0" w:afterAutospacing="0" w:line="270" w:lineRule="atLeast"/>
        <w:ind w:right="300"/>
        <w:textAlignment w:val="baseline"/>
      </w:pPr>
      <w:r w:rsidRPr="002E7FB5">
        <w:rPr>
          <w:bdr w:val="none" w:sz="0" w:space="0" w:color="auto" w:frame="1"/>
        </w:rPr>
        <w:t xml:space="preserve">While most people are born either male or female (biological sex), they are taught appropriate </w:t>
      </w:r>
      <w:proofErr w:type="spellStart"/>
      <w:r w:rsidRPr="002E7FB5">
        <w:rPr>
          <w:bdr w:val="none" w:sz="0" w:space="0" w:color="auto" w:frame="1"/>
        </w:rPr>
        <w:t>behaviours</w:t>
      </w:r>
      <w:proofErr w:type="spellEnd"/>
      <w:r w:rsidRPr="002E7FB5">
        <w:rPr>
          <w:bdr w:val="none" w:sz="0" w:space="0" w:color="auto" w:frame="1"/>
        </w:rPr>
        <w:t xml:space="preserve"> for males and females (gender norms) – including how they should interact with others of the same or opposite sex within households, communities and workplaces (gender relations) and which functions or responsibilities they should assume in society (gender roles).</w:t>
      </w:r>
    </w:p>
    <w:p w:rsidR="002E7FB5" w:rsidRPr="002E7FB5" w:rsidRDefault="002E7FB5" w:rsidP="002E7FB5">
      <w:pPr>
        <w:pStyle w:val="NormalWeb"/>
        <w:shd w:val="clear" w:color="auto" w:fill="FFFFFF"/>
        <w:spacing w:before="0" w:beforeAutospacing="0" w:after="0" w:afterAutospacing="0" w:line="270" w:lineRule="atLeast"/>
        <w:ind w:right="300"/>
        <w:textAlignment w:val="baseline"/>
      </w:pPr>
      <w:r w:rsidRPr="002E7FB5">
        <w:rPr>
          <w:bdr w:val="none" w:sz="0" w:space="0" w:color="auto" w:frame="1"/>
        </w:rPr>
        <w:t>Income, education, age, ethnicity, sexual orientation and place of residence are all important determinants of health. When they intersect with gender inequality, they can compound the experience of discrimination, health risks, and lack of access to resources needed for health attainment.</w:t>
      </w:r>
    </w:p>
    <w:p w:rsidR="002E7FB5" w:rsidRPr="002E7FB5" w:rsidRDefault="002E7FB5" w:rsidP="002E7FB5">
      <w:pPr>
        <w:pStyle w:val="Heading3"/>
        <w:shd w:val="clear" w:color="auto" w:fill="FFFFFF"/>
        <w:spacing w:before="0" w:after="135" w:line="270" w:lineRule="atLeast"/>
        <w:ind w:right="300"/>
        <w:textAlignment w:val="baseline"/>
        <w:rPr>
          <w:rFonts w:ascii="Times New Roman" w:hAnsi="Times New Roman" w:cs="Times New Roman"/>
          <w:color w:val="auto"/>
        </w:rPr>
      </w:pPr>
      <w:r w:rsidRPr="002E7FB5">
        <w:rPr>
          <w:rFonts w:ascii="Times New Roman" w:hAnsi="Times New Roman" w:cs="Times New Roman"/>
          <w:color w:val="auto"/>
        </w:rPr>
        <w:t>Impact on health</w:t>
      </w:r>
    </w:p>
    <w:p w:rsidR="002E7FB5" w:rsidRPr="002E7FB5" w:rsidRDefault="002E7FB5" w:rsidP="002E7FB5">
      <w:pPr>
        <w:pStyle w:val="NormalWeb"/>
        <w:shd w:val="clear" w:color="auto" w:fill="FFFFFF"/>
        <w:spacing w:before="0" w:beforeAutospacing="0" w:after="0" w:afterAutospacing="0" w:line="270" w:lineRule="atLeast"/>
        <w:ind w:right="300"/>
        <w:textAlignment w:val="baseline"/>
      </w:pPr>
      <w:r w:rsidRPr="002E7FB5">
        <w:rPr>
          <w:bdr w:val="none" w:sz="0" w:space="0" w:color="auto" w:frame="1"/>
        </w:rPr>
        <w:t xml:space="preserve">There is not a problem per se in socially constructed differences between women and men, except when these differences limit opportunities or resources needed to attain health, and </w:t>
      </w:r>
      <w:r w:rsidRPr="002E7FB5">
        <w:rPr>
          <w:bdr w:val="none" w:sz="0" w:space="0" w:color="auto" w:frame="1"/>
        </w:rPr>
        <w:lastRenderedPageBreak/>
        <w:t>thereby result in discrimination and inequalities that may have negative consequences on health.</w:t>
      </w:r>
    </w:p>
    <w:p w:rsidR="002E7FB5" w:rsidRPr="002E7FB5" w:rsidRDefault="002E7FB5" w:rsidP="002E7FB5">
      <w:pPr>
        <w:pStyle w:val="NormalWeb"/>
        <w:shd w:val="clear" w:color="auto" w:fill="FFFFFF"/>
        <w:spacing w:before="0" w:beforeAutospacing="0" w:after="0" w:afterAutospacing="0" w:line="270" w:lineRule="atLeast"/>
        <w:ind w:right="300"/>
        <w:textAlignment w:val="baseline"/>
      </w:pPr>
      <w:r w:rsidRPr="002E7FB5">
        <w:rPr>
          <w:bdr w:val="none" w:sz="0" w:space="0" w:color="auto" w:frame="1"/>
        </w:rPr>
        <w:t>When individuals do not conform to established gender norms, relations or roles, they often face stigma, discriminatory practices or social exclusion – all of which negatively impact health. Gender norms influence access and control over resources needed to attain optimal health, including:</w:t>
      </w:r>
    </w:p>
    <w:p w:rsidR="002E7FB5" w:rsidRPr="002E7FB5" w:rsidRDefault="002E7FB5" w:rsidP="002E7FB5">
      <w:pPr>
        <w:numPr>
          <w:ilvl w:val="0"/>
          <w:numId w:val="9"/>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economic (income, credit);</w:t>
      </w:r>
    </w:p>
    <w:p w:rsidR="002E7FB5" w:rsidRPr="002E7FB5" w:rsidRDefault="002E7FB5" w:rsidP="002E7FB5">
      <w:pPr>
        <w:numPr>
          <w:ilvl w:val="0"/>
          <w:numId w:val="9"/>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social (social networks);</w:t>
      </w:r>
    </w:p>
    <w:p w:rsidR="002E7FB5" w:rsidRPr="002E7FB5" w:rsidRDefault="002E7FB5" w:rsidP="002E7FB5">
      <w:pPr>
        <w:numPr>
          <w:ilvl w:val="0"/>
          <w:numId w:val="9"/>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political (leadership, participation);</w:t>
      </w:r>
    </w:p>
    <w:p w:rsidR="002E7FB5" w:rsidRPr="002E7FB5" w:rsidRDefault="002E7FB5" w:rsidP="002E7FB5">
      <w:pPr>
        <w:numPr>
          <w:ilvl w:val="0"/>
          <w:numId w:val="9"/>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information and education (health literacy, academic);</w:t>
      </w:r>
    </w:p>
    <w:p w:rsidR="002E7FB5" w:rsidRPr="002E7FB5" w:rsidRDefault="002E7FB5" w:rsidP="002E7FB5">
      <w:pPr>
        <w:numPr>
          <w:ilvl w:val="0"/>
          <w:numId w:val="9"/>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time (access to health services); and</w:t>
      </w:r>
    </w:p>
    <w:p w:rsidR="002E7FB5" w:rsidRPr="002E7FB5" w:rsidRDefault="002E7FB5" w:rsidP="002E7FB5">
      <w:pPr>
        <w:numPr>
          <w:ilvl w:val="0"/>
          <w:numId w:val="9"/>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internal (</w:t>
      </w:r>
      <w:proofErr w:type="spellStart"/>
      <w:r w:rsidRPr="002E7FB5">
        <w:rPr>
          <w:rFonts w:ascii="Times New Roman" w:hAnsi="Times New Roman" w:cs="Times New Roman"/>
          <w:sz w:val="24"/>
          <w:szCs w:val="24"/>
        </w:rPr>
        <w:t>self confidence</w:t>
      </w:r>
      <w:proofErr w:type="spellEnd"/>
      <w:r w:rsidRPr="002E7FB5">
        <w:rPr>
          <w:rFonts w:ascii="Times New Roman" w:hAnsi="Times New Roman" w:cs="Times New Roman"/>
          <w:sz w:val="24"/>
          <w:szCs w:val="24"/>
        </w:rPr>
        <w:t>/esteem).</w:t>
      </w:r>
    </w:p>
    <w:p w:rsidR="002E7FB5" w:rsidRPr="002E7FB5" w:rsidRDefault="002E7FB5" w:rsidP="002E7FB5">
      <w:pPr>
        <w:pStyle w:val="NormalWeb"/>
        <w:shd w:val="clear" w:color="auto" w:fill="FFFFFF"/>
        <w:spacing w:before="0" w:beforeAutospacing="0" w:after="0" w:afterAutospacing="0" w:line="270" w:lineRule="atLeast"/>
        <w:ind w:right="300"/>
        <w:textAlignment w:val="baseline"/>
      </w:pPr>
      <w:r w:rsidRPr="002E7FB5">
        <w:rPr>
          <w:bdr w:val="none" w:sz="0" w:space="0" w:color="auto" w:frame="1"/>
        </w:rPr>
        <w:t>Gender norms, roles and relations result in differences between men and women in:</w:t>
      </w:r>
    </w:p>
    <w:p w:rsidR="002E7FB5" w:rsidRPr="002E7FB5" w:rsidRDefault="002E7FB5" w:rsidP="002E7FB5">
      <w:pPr>
        <w:numPr>
          <w:ilvl w:val="0"/>
          <w:numId w:val="10"/>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exposure to risk factors or vulnerability;</w:t>
      </w:r>
    </w:p>
    <w:p w:rsidR="002E7FB5" w:rsidRPr="002E7FB5" w:rsidRDefault="002E7FB5" w:rsidP="002E7FB5">
      <w:pPr>
        <w:numPr>
          <w:ilvl w:val="0"/>
          <w:numId w:val="10"/>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household-level investment in nutrition, care and education;</w:t>
      </w:r>
    </w:p>
    <w:p w:rsidR="002E7FB5" w:rsidRPr="002E7FB5" w:rsidRDefault="002E7FB5" w:rsidP="002E7FB5">
      <w:pPr>
        <w:numPr>
          <w:ilvl w:val="0"/>
          <w:numId w:val="10"/>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access to and use of health services;</w:t>
      </w:r>
    </w:p>
    <w:p w:rsidR="002E7FB5" w:rsidRPr="002E7FB5" w:rsidRDefault="002E7FB5" w:rsidP="002E7FB5">
      <w:pPr>
        <w:numPr>
          <w:ilvl w:val="0"/>
          <w:numId w:val="10"/>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experiences in health-care settings; and</w:t>
      </w:r>
    </w:p>
    <w:p w:rsidR="002E7FB5" w:rsidRPr="002E7FB5" w:rsidRDefault="002E7FB5" w:rsidP="002E7FB5">
      <w:pPr>
        <w:numPr>
          <w:ilvl w:val="0"/>
          <w:numId w:val="10"/>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social impacts of ill-health.</w:t>
      </w:r>
    </w:p>
    <w:p w:rsidR="002E7FB5" w:rsidRPr="002E7FB5" w:rsidRDefault="002E7FB5" w:rsidP="002E7FB5">
      <w:pPr>
        <w:pStyle w:val="Heading3"/>
        <w:shd w:val="clear" w:color="auto" w:fill="FFFFFF"/>
        <w:spacing w:before="0" w:after="135" w:line="270" w:lineRule="atLeast"/>
        <w:ind w:right="300"/>
        <w:textAlignment w:val="baseline"/>
        <w:rPr>
          <w:rFonts w:ascii="Times New Roman" w:hAnsi="Times New Roman" w:cs="Times New Roman"/>
          <w:color w:val="auto"/>
        </w:rPr>
      </w:pPr>
      <w:r w:rsidRPr="002E7FB5">
        <w:rPr>
          <w:rFonts w:ascii="Times New Roman" w:hAnsi="Times New Roman" w:cs="Times New Roman"/>
          <w:color w:val="auto"/>
        </w:rPr>
        <w:t>Gender equality in health</w:t>
      </w:r>
    </w:p>
    <w:p w:rsidR="002E7FB5" w:rsidRPr="002E7FB5" w:rsidRDefault="002E7FB5" w:rsidP="002E7FB5">
      <w:pPr>
        <w:pStyle w:val="NormalWeb"/>
        <w:shd w:val="clear" w:color="auto" w:fill="FFFFFF"/>
        <w:spacing w:before="0" w:beforeAutospacing="0" w:after="0" w:afterAutospacing="0" w:line="270" w:lineRule="atLeast"/>
        <w:ind w:right="300"/>
        <w:textAlignment w:val="baseline"/>
      </w:pPr>
      <w:r w:rsidRPr="002E7FB5">
        <w:rPr>
          <w:bdr w:val="none" w:sz="0" w:space="0" w:color="auto" w:frame="1"/>
        </w:rPr>
        <w:t>Gender equality in health means that women and men, across the life-course and in all their diversity, have the same conditions and opportunities to realize their full rights and potential to be healthy, contribute to health development and benefit from the results. Achieving gender equality in health often requires specific measures to mitigate barriers.</w:t>
      </w:r>
    </w:p>
    <w:p w:rsidR="002E7FB5" w:rsidRPr="002E7FB5" w:rsidRDefault="002E7FB5" w:rsidP="002E7FB5">
      <w:pPr>
        <w:pStyle w:val="Heading3"/>
        <w:shd w:val="clear" w:color="auto" w:fill="FFFFFF"/>
        <w:spacing w:before="0" w:after="135" w:line="270" w:lineRule="atLeast"/>
        <w:ind w:right="300"/>
        <w:textAlignment w:val="baseline"/>
        <w:rPr>
          <w:rFonts w:ascii="Times New Roman" w:hAnsi="Times New Roman" w:cs="Times New Roman"/>
          <w:color w:val="auto"/>
        </w:rPr>
      </w:pPr>
      <w:r w:rsidRPr="002E7FB5">
        <w:rPr>
          <w:rFonts w:ascii="Times New Roman" w:hAnsi="Times New Roman" w:cs="Times New Roman"/>
          <w:color w:val="auto"/>
        </w:rPr>
        <w:t>WHO response</w:t>
      </w:r>
    </w:p>
    <w:p w:rsidR="002E7FB5" w:rsidRPr="002E7FB5" w:rsidRDefault="002E7FB5" w:rsidP="002E7FB5">
      <w:pPr>
        <w:numPr>
          <w:ilvl w:val="0"/>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A WHO Strategy for integrating gender analysis and actions into the work of WHO was adopted by the Sixtieth World Health Assembly in May 2007 (WHA60.25). The entire WHO Secretariat, including headquarters, regional offices and country offices, is responsible for implementing the WHO Gender Strategy, which includes:</w:t>
      </w:r>
    </w:p>
    <w:p w:rsidR="002E7FB5" w:rsidRPr="002E7FB5" w:rsidRDefault="002E7FB5" w:rsidP="002E7FB5">
      <w:pPr>
        <w:numPr>
          <w:ilvl w:val="1"/>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ensuring capacities for gender analysis and planning;</w:t>
      </w:r>
    </w:p>
    <w:p w:rsidR="002E7FB5" w:rsidRPr="002E7FB5" w:rsidRDefault="002E7FB5" w:rsidP="002E7FB5">
      <w:pPr>
        <w:numPr>
          <w:ilvl w:val="1"/>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mainstreaming gender in corporate functions, for example gender responsive results-based management planning, budgeting, monitoring and evaluation;</w:t>
      </w:r>
    </w:p>
    <w:p w:rsidR="002E7FB5" w:rsidRPr="002E7FB5" w:rsidRDefault="002E7FB5" w:rsidP="002E7FB5">
      <w:pPr>
        <w:numPr>
          <w:ilvl w:val="1"/>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disaggregating data and conducting gender analysis; and</w:t>
      </w:r>
    </w:p>
    <w:p w:rsidR="002E7FB5" w:rsidRPr="002E7FB5" w:rsidRDefault="002E7FB5" w:rsidP="002E7FB5">
      <w:pPr>
        <w:numPr>
          <w:ilvl w:val="1"/>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establishing accountability for mainstreaming gender.</w:t>
      </w:r>
    </w:p>
    <w:p w:rsidR="002E7FB5" w:rsidRPr="002E7FB5" w:rsidRDefault="002E7FB5" w:rsidP="002E7FB5">
      <w:pPr>
        <w:numPr>
          <w:ilvl w:val="0"/>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 xml:space="preserve">In 2015, the Gender, equity and human rights (GER) roadmap for action, 2014-2019: Integrating equity, gender, human rights and social determinants into the work of WHO went into effect. The GER Roadmap for Action is a 5 year plan to ensure an integrated approach for gender responsive, equity enhancing, and rights based WHO </w:t>
      </w:r>
      <w:proofErr w:type="spellStart"/>
      <w:r w:rsidRPr="002E7FB5">
        <w:rPr>
          <w:rFonts w:ascii="Times New Roman" w:hAnsi="Times New Roman" w:cs="Times New Roman"/>
          <w:sz w:val="24"/>
          <w:szCs w:val="24"/>
        </w:rPr>
        <w:t>programmes</w:t>
      </w:r>
      <w:proofErr w:type="spellEnd"/>
      <w:r w:rsidRPr="002E7FB5">
        <w:rPr>
          <w:rFonts w:ascii="Times New Roman" w:hAnsi="Times New Roman" w:cs="Times New Roman"/>
          <w:sz w:val="24"/>
          <w:szCs w:val="24"/>
        </w:rPr>
        <w:t>.</w:t>
      </w:r>
    </w:p>
    <w:p w:rsidR="002E7FB5" w:rsidRPr="002E7FB5" w:rsidRDefault="002E7FB5" w:rsidP="002E7FB5">
      <w:pPr>
        <w:numPr>
          <w:ilvl w:val="0"/>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 xml:space="preserve">WHO has also developed tools to ensure systematic consideration of gender in the design, implementation and evaluation of health policies and </w:t>
      </w:r>
      <w:proofErr w:type="spellStart"/>
      <w:r w:rsidRPr="002E7FB5">
        <w:rPr>
          <w:rFonts w:ascii="Times New Roman" w:hAnsi="Times New Roman" w:cs="Times New Roman"/>
          <w:sz w:val="24"/>
          <w:szCs w:val="24"/>
        </w:rPr>
        <w:t>programmes</w:t>
      </w:r>
      <w:proofErr w:type="spellEnd"/>
      <w:r w:rsidRPr="002E7FB5">
        <w:rPr>
          <w:rFonts w:ascii="Times New Roman" w:hAnsi="Times New Roman" w:cs="Times New Roman"/>
          <w:sz w:val="24"/>
          <w:szCs w:val="24"/>
        </w:rPr>
        <w:t>, which include the:</w:t>
      </w:r>
    </w:p>
    <w:p w:rsidR="002E7FB5" w:rsidRPr="002E7FB5" w:rsidRDefault="002E7FB5" w:rsidP="002E7FB5">
      <w:pPr>
        <w:numPr>
          <w:ilvl w:val="1"/>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WHO Gender Analysis Matrix (GAM) and Gender Analysis Questions (GAQ)</w:t>
      </w:r>
    </w:p>
    <w:p w:rsidR="002E7FB5" w:rsidRPr="002E7FB5" w:rsidRDefault="002E7FB5" w:rsidP="002E7FB5">
      <w:pPr>
        <w:numPr>
          <w:ilvl w:val="1"/>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WHO Gender Responsive Assessment Scale (GRAS) and Gender Analysis Tool (GAT)</w:t>
      </w:r>
    </w:p>
    <w:p w:rsidR="002E7FB5" w:rsidRPr="002E7FB5" w:rsidRDefault="002E7FB5" w:rsidP="002E7FB5">
      <w:pPr>
        <w:numPr>
          <w:ilvl w:val="1"/>
          <w:numId w:val="11"/>
        </w:numPr>
        <w:shd w:val="clear" w:color="auto" w:fill="FFFFFF"/>
        <w:spacing w:after="0" w:line="225" w:lineRule="atLeast"/>
        <w:ind w:left="0" w:right="300"/>
        <w:textAlignment w:val="baseline"/>
        <w:rPr>
          <w:rFonts w:ascii="Times New Roman" w:hAnsi="Times New Roman" w:cs="Times New Roman"/>
          <w:sz w:val="24"/>
          <w:szCs w:val="24"/>
        </w:rPr>
      </w:pPr>
      <w:r w:rsidRPr="002E7FB5">
        <w:rPr>
          <w:rFonts w:ascii="Times New Roman" w:hAnsi="Times New Roman" w:cs="Times New Roman"/>
          <w:sz w:val="24"/>
          <w:szCs w:val="24"/>
        </w:rPr>
        <w:t>WHO Gender and health planning and programming checklist</w:t>
      </w:r>
    </w:p>
    <w:p w:rsidR="0023004E" w:rsidRPr="0023004E" w:rsidRDefault="0023004E" w:rsidP="0023004E">
      <w:pPr>
        <w:numPr>
          <w:ilvl w:val="0"/>
          <w:numId w:val="7"/>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23004E">
        <w:rPr>
          <w:rFonts w:ascii="Times New Roman" w:eastAsia="Times New Roman" w:hAnsi="Times New Roman" w:cs="Times New Roman"/>
          <w:sz w:val="24"/>
          <w:szCs w:val="24"/>
        </w:rPr>
        <w:t>not</w:t>
      </w:r>
    </w:p>
    <w:p w:rsidR="0023004E" w:rsidRPr="002E7FB5" w:rsidRDefault="0023004E" w:rsidP="0023004E">
      <w:pPr>
        <w:numPr>
          <w:ilvl w:val="0"/>
          <w:numId w:val="7"/>
        </w:numPr>
        <w:shd w:val="clear" w:color="auto" w:fill="FFFFFF"/>
        <w:spacing w:after="0" w:line="225" w:lineRule="atLeast"/>
        <w:ind w:left="0" w:right="300"/>
        <w:textAlignment w:val="baseline"/>
        <w:rPr>
          <w:rFonts w:ascii="Times New Roman" w:eastAsia="Times New Roman" w:hAnsi="Times New Roman" w:cs="Times New Roman"/>
          <w:sz w:val="24"/>
          <w:szCs w:val="24"/>
        </w:rPr>
      </w:pPr>
      <w:r w:rsidRPr="0023004E">
        <w:rPr>
          <w:rFonts w:ascii="Times New Roman" w:eastAsia="Times New Roman" w:hAnsi="Times New Roman" w:cs="Times New Roman"/>
          <w:sz w:val="24"/>
          <w:szCs w:val="24"/>
        </w:rPr>
        <w:t>In most of the world, women do more housework than men</w:t>
      </w:r>
    </w:p>
    <w:p w:rsidR="0023004E" w:rsidRPr="002E7FB5" w:rsidRDefault="0023004E" w:rsidP="0023004E">
      <w:pPr>
        <w:shd w:val="clear" w:color="auto" w:fill="FFFFFF"/>
        <w:spacing w:after="0" w:line="225" w:lineRule="atLeast"/>
        <w:ind w:right="300"/>
        <w:textAlignment w:val="baseline"/>
        <w:rPr>
          <w:rFonts w:ascii="Times New Roman" w:eastAsia="Times New Roman" w:hAnsi="Times New Roman" w:cs="Times New Roman"/>
          <w:sz w:val="24"/>
          <w:szCs w:val="24"/>
        </w:rPr>
      </w:pPr>
      <w:bookmarkStart w:id="0" w:name="_GoBack"/>
      <w:bookmarkEnd w:id="0"/>
    </w:p>
    <w:sectPr w:rsidR="0023004E" w:rsidRPr="002E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7F5A"/>
    <w:multiLevelType w:val="multilevel"/>
    <w:tmpl w:val="EC64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A5E75"/>
    <w:multiLevelType w:val="multilevel"/>
    <w:tmpl w:val="E2A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07C92"/>
    <w:multiLevelType w:val="hybridMultilevel"/>
    <w:tmpl w:val="02A2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9592B"/>
    <w:multiLevelType w:val="multilevel"/>
    <w:tmpl w:val="3396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F1649"/>
    <w:multiLevelType w:val="multilevel"/>
    <w:tmpl w:val="6642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B7C68"/>
    <w:multiLevelType w:val="multilevel"/>
    <w:tmpl w:val="EEC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91EE3"/>
    <w:multiLevelType w:val="multilevel"/>
    <w:tmpl w:val="48ECF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484206"/>
    <w:multiLevelType w:val="multilevel"/>
    <w:tmpl w:val="388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32945"/>
    <w:multiLevelType w:val="multilevel"/>
    <w:tmpl w:val="D2C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728ED"/>
    <w:multiLevelType w:val="multilevel"/>
    <w:tmpl w:val="A6F0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72DB5"/>
    <w:multiLevelType w:val="multilevel"/>
    <w:tmpl w:val="69C0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76954"/>
    <w:multiLevelType w:val="multilevel"/>
    <w:tmpl w:val="FDBE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0"/>
  </w:num>
  <w:num w:numId="5">
    <w:abstractNumId w:val="1"/>
  </w:num>
  <w:num w:numId="6">
    <w:abstractNumId w:val="3"/>
  </w:num>
  <w:num w:numId="7">
    <w:abstractNumId w:val="10"/>
  </w:num>
  <w:num w:numId="8">
    <w:abstractNumId w:val="11"/>
  </w:num>
  <w:num w:numId="9">
    <w:abstractNumId w:val="5"/>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4E"/>
    <w:rsid w:val="0023004E"/>
    <w:rsid w:val="002E7FB5"/>
    <w:rsid w:val="003310E5"/>
    <w:rsid w:val="004C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3952"/>
  <w15:chartTrackingRefBased/>
  <w15:docId w15:val="{33D70AAE-BAF3-43F1-B995-552A91E7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300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300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E7F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04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0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3004E"/>
  </w:style>
  <w:style w:type="character" w:customStyle="1" w:styleId="Heading2Char">
    <w:name w:val="Heading 2 Char"/>
    <w:basedOn w:val="DefaultParagraphFont"/>
    <w:link w:val="Heading2"/>
    <w:uiPriority w:val="9"/>
    <w:semiHidden/>
    <w:rsid w:val="002300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E7FB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E7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479">
      <w:bodyDiv w:val="1"/>
      <w:marLeft w:val="0"/>
      <w:marRight w:val="0"/>
      <w:marTop w:val="0"/>
      <w:marBottom w:val="0"/>
      <w:divBdr>
        <w:top w:val="none" w:sz="0" w:space="0" w:color="auto"/>
        <w:left w:val="none" w:sz="0" w:space="0" w:color="auto"/>
        <w:bottom w:val="none" w:sz="0" w:space="0" w:color="auto"/>
        <w:right w:val="none" w:sz="0" w:space="0" w:color="auto"/>
      </w:divBdr>
    </w:div>
    <w:div w:id="218397233">
      <w:bodyDiv w:val="1"/>
      <w:marLeft w:val="0"/>
      <w:marRight w:val="0"/>
      <w:marTop w:val="0"/>
      <w:marBottom w:val="0"/>
      <w:divBdr>
        <w:top w:val="none" w:sz="0" w:space="0" w:color="auto"/>
        <w:left w:val="none" w:sz="0" w:space="0" w:color="auto"/>
        <w:bottom w:val="none" w:sz="0" w:space="0" w:color="auto"/>
        <w:right w:val="none" w:sz="0" w:space="0" w:color="auto"/>
      </w:divBdr>
      <w:divsChild>
        <w:div w:id="953907228">
          <w:marLeft w:val="0"/>
          <w:marRight w:val="300"/>
          <w:marTop w:val="0"/>
          <w:marBottom w:val="540"/>
          <w:divBdr>
            <w:top w:val="none" w:sz="0" w:space="0" w:color="auto"/>
            <w:left w:val="none" w:sz="0" w:space="0" w:color="auto"/>
            <w:bottom w:val="none" w:sz="0" w:space="0" w:color="auto"/>
            <w:right w:val="none" w:sz="0" w:space="0" w:color="auto"/>
          </w:divBdr>
        </w:div>
      </w:divsChild>
    </w:div>
    <w:div w:id="1011834502">
      <w:bodyDiv w:val="1"/>
      <w:marLeft w:val="0"/>
      <w:marRight w:val="0"/>
      <w:marTop w:val="0"/>
      <w:marBottom w:val="0"/>
      <w:divBdr>
        <w:top w:val="none" w:sz="0" w:space="0" w:color="auto"/>
        <w:left w:val="none" w:sz="0" w:space="0" w:color="auto"/>
        <w:bottom w:val="none" w:sz="0" w:space="0" w:color="auto"/>
        <w:right w:val="none" w:sz="0" w:space="0" w:color="auto"/>
      </w:divBdr>
    </w:div>
    <w:div w:id="1491093759">
      <w:bodyDiv w:val="1"/>
      <w:marLeft w:val="0"/>
      <w:marRight w:val="0"/>
      <w:marTop w:val="0"/>
      <w:marBottom w:val="0"/>
      <w:divBdr>
        <w:top w:val="none" w:sz="0" w:space="0" w:color="auto"/>
        <w:left w:val="none" w:sz="0" w:space="0" w:color="auto"/>
        <w:bottom w:val="none" w:sz="0" w:space="0" w:color="auto"/>
        <w:right w:val="none" w:sz="0" w:space="0" w:color="auto"/>
      </w:divBdr>
      <w:divsChild>
        <w:div w:id="688726604">
          <w:marLeft w:val="0"/>
          <w:marRight w:val="0"/>
          <w:marTop w:val="0"/>
          <w:marBottom w:val="0"/>
          <w:divBdr>
            <w:top w:val="none" w:sz="0" w:space="0" w:color="auto"/>
            <w:left w:val="none" w:sz="0" w:space="0" w:color="auto"/>
            <w:bottom w:val="none" w:sz="0" w:space="0" w:color="auto"/>
            <w:right w:val="none" w:sz="0" w:space="0" w:color="auto"/>
          </w:divBdr>
          <w:divsChild>
            <w:div w:id="980161560">
              <w:marLeft w:val="0"/>
              <w:marRight w:val="0"/>
              <w:marTop w:val="0"/>
              <w:marBottom w:val="0"/>
              <w:divBdr>
                <w:top w:val="none" w:sz="0" w:space="0" w:color="auto"/>
                <w:left w:val="none" w:sz="0" w:space="0" w:color="auto"/>
                <w:bottom w:val="none" w:sz="0" w:space="0" w:color="auto"/>
                <w:right w:val="none" w:sz="0" w:space="0" w:color="auto"/>
              </w:divBdr>
            </w:div>
            <w:div w:id="1049648795">
              <w:marLeft w:val="0"/>
              <w:marRight w:val="0"/>
              <w:marTop w:val="0"/>
              <w:marBottom w:val="0"/>
              <w:divBdr>
                <w:top w:val="none" w:sz="0" w:space="0" w:color="auto"/>
                <w:left w:val="none" w:sz="0" w:space="0" w:color="auto"/>
                <w:bottom w:val="none" w:sz="0" w:space="0" w:color="auto"/>
                <w:right w:val="none" w:sz="0" w:space="0" w:color="auto"/>
              </w:divBdr>
            </w:div>
            <w:div w:id="155148379">
              <w:marLeft w:val="0"/>
              <w:marRight w:val="0"/>
              <w:marTop w:val="0"/>
              <w:marBottom w:val="0"/>
              <w:divBdr>
                <w:top w:val="none" w:sz="0" w:space="0" w:color="auto"/>
                <w:left w:val="none" w:sz="0" w:space="0" w:color="auto"/>
                <w:bottom w:val="none" w:sz="0" w:space="0" w:color="auto"/>
                <w:right w:val="none" w:sz="0" w:space="0" w:color="auto"/>
              </w:divBdr>
              <w:divsChild>
                <w:div w:id="655766075">
                  <w:marLeft w:val="0"/>
                  <w:marRight w:val="0"/>
                  <w:marTop w:val="0"/>
                  <w:marBottom w:val="0"/>
                  <w:divBdr>
                    <w:top w:val="none" w:sz="0" w:space="0" w:color="auto"/>
                    <w:left w:val="none" w:sz="0" w:space="0" w:color="auto"/>
                    <w:bottom w:val="none" w:sz="0" w:space="0" w:color="auto"/>
                    <w:right w:val="none" w:sz="0" w:space="0" w:color="auto"/>
                  </w:divBdr>
                  <w:divsChild>
                    <w:div w:id="852306107">
                      <w:marLeft w:val="0"/>
                      <w:marRight w:val="0"/>
                      <w:marTop w:val="150"/>
                      <w:marBottom w:val="0"/>
                      <w:divBdr>
                        <w:top w:val="none" w:sz="0" w:space="0" w:color="auto"/>
                        <w:left w:val="none" w:sz="0" w:space="0" w:color="auto"/>
                        <w:bottom w:val="none" w:sz="0" w:space="0" w:color="auto"/>
                        <w:right w:val="none" w:sz="0" w:space="0" w:color="auto"/>
                      </w:divBdr>
                      <w:divsChild>
                        <w:div w:id="1850368291">
                          <w:marLeft w:val="0"/>
                          <w:marRight w:val="0"/>
                          <w:marTop w:val="0"/>
                          <w:marBottom w:val="0"/>
                          <w:divBdr>
                            <w:top w:val="none" w:sz="0" w:space="0" w:color="auto"/>
                            <w:left w:val="none" w:sz="0" w:space="0" w:color="auto"/>
                            <w:bottom w:val="none" w:sz="0" w:space="0" w:color="auto"/>
                            <w:right w:val="none" w:sz="0" w:space="0" w:color="auto"/>
                          </w:divBdr>
                          <w:divsChild>
                            <w:div w:id="255019696">
                              <w:marLeft w:val="0"/>
                              <w:marRight w:val="0"/>
                              <w:marTop w:val="0"/>
                              <w:marBottom w:val="0"/>
                              <w:divBdr>
                                <w:top w:val="none" w:sz="0" w:space="0" w:color="auto"/>
                                <w:left w:val="none" w:sz="0" w:space="0" w:color="auto"/>
                                <w:bottom w:val="none" w:sz="0" w:space="0" w:color="auto"/>
                                <w:right w:val="none" w:sz="0" w:space="0" w:color="auto"/>
                              </w:divBdr>
                              <w:divsChild>
                                <w:div w:id="301737810">
                                  <w:marLeft w:val="210"/>
                                  <w:marRight w:val="0"/>
                                  <w:marTop w:val="0"/>
                                  <w:marBottom w:val="0"/>
                                  <w:divBdr>
                                    <w:top w:val="none" w:sz="0" w:space="0" w:color="auto"/>
                                    <w:left w:val="none" w:sz="0" w:space="0" w:color="auto"/>
                                    <w:bottom w:val="none" w:sz="0" w:space="0" w:color="auto"/>
                                    <w:right w:val="none" w:sz="0" w:space="0" w:color="auto"/>
                                  </w:divBdr>
                                  <w:divsChild>
                                    <w:div w:id="115416817">
                                      <w:marLeft w:val="0"/>
                                      <w:marRight w:val="0"/>
                                      <w:marTop w:val="0"/>
                                      <w:marBottom w:val="0"/>
                                      <w:divBdr>
                                        <w:top w:val="none" w:sz="0" w:space="0" w:color="auto"/>
                                        <w:left w:val="none" w:sz="0" w:space="0" w:color="auto"/>
                                        <w:bottom w:val="none" w:sz="0" w:space="0" w:color="auto"/>
                                        <w:right w:val="none" w:sz="0" w:space="0" w:color="auto"/>
                                      </w:divBdr>
                                    </w:div>
                                  </w:divsChild>
                                </w:div>
                                <w:div w:id="35087274">
                                  <w:marLeft w:val="210"/>
                                  <w:marRight w:val="0"/>
                                  <w:marTop w:val="0"/>
                                  <w:marBottom w:val="0"/>
                                  <w:divBdr>
                                    <w:top w:val="none" w:sz="0" w:space="0" w:color="auto"/>
                                    <w:left w:val="none" w:sz="0" w:space="0" w:color="auto"/>
                                    <w:bottom w:val="none" w:sz="0" w:space="0" w:color="auto"/>
                                    <w:right w:val="none" w:sz="0" w:space="0" w:color="auto"/>
                                  </w:divBdr>
                                  <w:divsChild>
                                    <w:div w:id="2062749073">
                                      <w:marLeft w:val="0"/>
                                      <w:marRight w:val="0"/>
                                      <w:marTop w:val="0"/>
                                      <w:marBottom w:val="0"/>
                                      <w:divBdr>
                                        <w:top w:val="none" w:sz="0" w:space="0" w:color="auto"/>
                                        <w:left w:val="none" w:sz="0" w:space="0" w:color="auto"/>
                                        <w:bottom w:val="none" w:sz="0" w:space="0" w:color="auto"/>
                                        <w:right w:val="none" w:sz="0" w:space="0" w:color="auto"/>
                                      </w:divBdr>
                                    </w:div>
                                  </w:divsChild>
                                </w:div>
                                <w:div w:id="1590575858">
                                  <w:marLeft w:val="210"/>
                                  <w:marRight w:val="0"/>
                                  <w:marTop w:val="0"/>
                                  <w:marBottom w:val="0"/>
                                  <w:divBdr>
                                    <w:top w:val="none" w:sz="0" w:space="0" w:color="auto"/>
                                    <w:left w:val="none" w:sz="0" w:space="0" w:color="auto"/>
                                    <w:bottom w:val="none" w:sz="0" w:space="0" w:color="auto"/>
                                    <w:right w:val="none" w:sz="0" w:space="0" w:color="auto"/>
                                  </w:divBdr>
                                  <w:divsChild>
                                    <w:div w:id="478889748">
                                      <w:marLeft w:val="0"/>
                                      <w:marRight w:val="0"/>
                                      <w:marTop w:val="0"/>
                                      <w:marBottom w:val="0"/>
                                      <w:divBdr>
                                        <w:top w:val="none" w:sz="0" w:space="0" w:color="auto"/>
                                        <w:left w:val="none" w:sz="0" w:space="0" w:color="auto"/>
                                        <w:bottom w:val="none" w:sz="0" w:space="0" w:color="auto"/>
                                        <w:right w:val="none" w:sz="0" w:space="0" w:color="auto"/>
                                      </w:divBdr>
                                    </w:div>
                                  </w:divsChild>
                                </w:div>
                                <w:div w:id="2110616206">
                                  <w:marLeft w:val="210"/>
                                  <w:marRight w:val="0"/>
                                  <w:marTop w:val="0"/>
                                  <w:marBottom w:val="0"/>
                                  <w:divBdr>
                                    <w:top w:val="none" w:sz="0" w:space="0" w:color="auto"/>
                                    <w:left w:val="none" w:sz="0" w:space="0" w:color="auto"/>
                                    <w:bottom w:val="none" w:sz="0" w:space="0" w:color="auto"/>
                                    <w:right w:val="none" w:sz="0" w:space="0" w:color="auto"/>
                                  </w:divBdr>
                                  <w:divsChild>
                                    <w:div w:id="1746566449">
                                      <w:marLeft w:val="0"/>
                                      <w:marRight w:val="0"/>
                                      <w:marTop w:val="0"/>
                                      <w:marBottom w:val="0"/>
                                      <w:divBdr>
                                        <w:top w:val="none" w:sz="0" w:space="0" w:color="auto"/>
                                        <w:left w:val="none" w:sz="0" w:space="0" w:color="auto"/>
                                        <w:bottom w:val="none" w:sz="0" w:space="0" w:color="auto"/>
                                        <w:right w:val="none" w:sz="0" w:space="0" w:color="auto"/>
                                      </w:divBdr>
                                    </w:div>
                                  </w:divsChild>
                                </w:div>
                                <w:div w:id="1205942615">
                                  <w:marLeft w:val="210"/>
                                  <w:marRight w:val="0"/>
                                  <w:marTop w:val="0"/>
                                  <w:marBottom w:val="0"/>
                                  <w:divBdr>
                                    <w:top w:val="none" w:sz="0" w:space="0" w:color="auto"/>
                                    <w:left w:val="none" w:sz="0" w:space="0" w:color="auto"/>
                                    <w:bottom w:val="none" w:sz="0" w:space="0" w:color="auto"/>
                                    <w:right w:val="none" w:sz="0" w:space="0" w:color="auto"/>
                                  </w:divBdr>
                                  <w:divsChild>
                                    <w:div w:id="1403018258">
                                      <w:marLeft w:val="0"/>
                                      <w:marRight w:val="0"/>
                                      <w:marTop w:val="0"/>
                                      <w:marBottom w:val="0"/>
                                      <w:divBdr>
                                        <w:top w:val="none" w:sz="0" w:space="0" w:color="auto"/>
                                        <w:left w:val="none" w:sz="0" w:space="0" w:color="auto"/>
                                        <w:bottom w:val="none" w:sz="0" w:space="0" w:color="auto"/>
                                        <w:right w:val="none" w:sz="0" w:space="0" w:color="auto"/>
                                      </w:divBdr>
                                    </w:div>
                                  </w:divsChild>
                                </w:div>
                                <w:div w:id="1714111893">
                                  <w:marLeft w:val="210"/>
                                  <w:marRight w:val="0"/>
                                  <w:marTop w:val="0"/>
                                  <w:marBottom w:val="0"/>
                                  <w:divBdr>
                                    <w:top w:val="none" w:sz="0" w:space="0" w:color="auto"/>
                                    <w:left w:val="none" w:sz="0" w:space="0" w:color="auto"/>
                                    <w:bottom w:val="none" w:sz="0" w:space="0" w:color="auto"/>
                                    <w:right w:val="none" w:sz="0" w:space="0" w:color="auto"/>
                                  </w:divBdr>
                                  <w:divsChild>
                                    <w:div w:id="13802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74944">
          <w:marLeft w:val="0"/>
          <w:marRight w:val="0"/>
          <w:marTop w:val="0"/>
          <w:marBottom w:val="0"/>
          <w:divBdr>
            <w:top w:val="none" w:sz="0" w:space="0" w:color="auto"/>
            <w:left w:val="none" w:sz="0" w:space="0" w:color="auto"/>
            <w:bottom w:val="none" w:sz="0" w:space="0" w:color="auto"/>
            <w:right w:val="none" w:sz="0" w:space="0" w:color="auto"/>
          </w:divBdr>
          <w:divsChild>
            <w:div w:id="1376202264">
              <w:marLeft w:val="0"/>
              <w:marRight w:val="0"/>
              <w:marTop w:val="0"/>
              <w:marBottom w:val="0"/>
              <w:divBdr>
                <w:top w:val="none" w:sz="0" w:space="11" w:color="auto"/>
                <w:left w:val="none" w:sz="0" w:space="31" w:color="auto"/>
                <w:bottom w:val="single" w:sz="6" w:space="11" w:color="DFDFDF"/>
                <w:right w:val="none" w:sz="0" w:space="15" w:color="auto"/>
              </w:divBdr>
            </w:div>
            <w:div w:id="420178331">
              <w:marLeft w:val="0"/>
              <w:marRight w:val="0"/>
              <w:marTop w:val="0"/>
              <w:marBottom w:val="0"/>
              <w:divBdr>
                <w:top w:val="none" w:sz="0" w:space="0" w:color="auto"/>
                <w:left w:val="none" w:sz="0" w:space="0" w:color="auto"/>
                <w:bottom w:val="none" w:sz="0" w:space="0" w:color="auto"/>
                <w:right w:val="none" w:sz="0" w:space="0" w:color="auto"/>
              </w:divBdr>
              <w:divsChild>
                <w:div w:id="716662798">
                  <w:marLeft w:val="0"/>
                  <w:marRight w:val="0"/>
                  <w:marTop w:val="0"/>
                  <w:marBottom w:val="0"/>
                  <w:divBdr>
                    <w:top w:val="none" w:sz="0" w:space="0" w:color="auto"/>
                    <w:left w:val="none" w:sz="0" w:space="0" w:color="auto"/>
                    <w:bottom w:val="none" w:sz="0" w:space="0" w:color="auto"/>
                    <w:right w:val="none" w:sz="0" w:space="0" w:color="auto"/>
                  </w:divBdr>
                </w:div>
              </w:divsChild>
            </w:div>
            <w:div w:id="193226491">
              <w:marLeft w:val="0"/>
              <w:marRight w:val="0"/>
              <w:marTop w:val="300"/>
              <w:marBottom w:val="0"/>
              <w:divBdr>
                <w:top w:val="none" w:sz="0" w:space="0" w:color="auto"/>
                <w:left w:val="none" w:sz="0" w:space="0" w:color="auto"/>
                <w:bottom w:val="none" w:sz="0" w:space="0" w:color="auto"/>
                <w:right w:val="none" w:sz="0" w:space="0" w:color="auto"/>
              </w:divBdr>
              <w:divsChild>
                <w:div w:id="8481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mediacentre/factsheets/fs403/en/" TargetMode="External"/><Relationship Id="rId5" Type="http://schemas.openxmlformats.org/officeDocument/2006/relationships/hyperlink" Target="http://apps.who.int/gender/whatisgender/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dc:description/>
  <cp:lastModifiedBy>GIBRIL</cp:lastModifiedBy>
  <cp:revision>2</cp:revision>
  <dcterms:created xsi:type="dcterms:W3CDTF">2017-06-07T00:15:00Z</dcterms:created>
  <dcterms:modified xsi:type="dcterms:W3CDTF">2017-06-07T00:15:00Z</dcterms:modified>
</cp:coreProperties>
</file>